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0F709079"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1517E0">
        <w:rPr>
          <w:rFonts w:cs="B Mitra" w:hint="cs"/>
          <w:b/>
          <w:bCs/>
          <w:sz w:val="32"/>
          <w:szCs w:val="32"/>
          <w:rtl/>
          <w:lang w:bidi="fa-IR"/>
        </w:rPr>
        <w:t>9</w:t>
      </w:r>
      <w:r w:rsidR="00A2119D">
        <w:rPr>
          <w:rFonts w:cs="B Mitra" w:hint="cs"/>
          <w:b/>
          <w:bCs/>
          <w:sz w:val="32"/>
          <w:szCs w:val="32"/>
          <w:rtl/>
          <w:lang w:bidi="fa-IR"/>
        </w:rPr>
        <w:t>7</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p w14:paraId="14F93C2E" w14:textId="1D61AFEB" w:rsidR="0028496B" w:rsidRDefault="00A2119D" w:rsidP="0001174C">
      <w:pPr>
        <w:widowControl w:val="0"/>
        <w:bidi/>
        <w:spacing w:after="0"/>
        <w:ind w:firstLine="284"/>
        <w:jc w:val="both"/>
        <w:rPr>
          <w:rFonts w:ascii="Traditional Arabic" w:hAnsi="Traditional Arabic" w:cs="Abz-2 (Badr)"/>
          <w:color w:val="000000" w:themeColor="text1"/>
          <w:sz w:val="28"/>
          <w:szCs w:val="28"/>
          <w:rtl/>
          <w:lang w:bidi="fa-IR"/>
        </w:rPr>
      </w:pPr>
      <w:bookmarkStart w:id="1" w:name="_Hlk190515248"/>
      <w:bookmarkEnd w:id="0"/>
      <w:r>
        <w:rPr>
          <w:rFonts w:ascii="Traditional Arabic" w:hAnsi="Traditional Arabic" w:cs="Abz-2 (Badr)" w:hint="cs"/>
          <w:color w:val="000000" w:themeColor="text1"/>
          <w:sz w:val="28"/>
          <w:szCs w:val="28"/>
          <w:rtl/>
          <w:lang w:bidi="fa-IR"/>
        </w:rPr>
        <w:t xml:space="preserve">آنچه که در خصوص وجه ذکر تعبير </w:t>
      </w:r>
      <w:r w:rsidRPr="00D61DAE">
        <w:rPr>
          <w:rFonts w:ascii="Traditional Arabic" w:hAnsi="Traditional Arabic" w:cs="QuranTaha" w:hint="cs"/>
          <w:color w:val="BF8F00" w:themeColor="accent4" w:themeShade="BF"/>
          <w:sz w:val="26"/>
          <w:szCs w:val="26"/>
          <w:rtl/>
          <w:lang w:bidi="fa-IR"/>
        </w:rPr>
        <w:t>«</w:t>
      </w:r>
      <w:r w:rsidR="0001174C" w:rsidRPr="0001174C">
        <w:rPr>
          <w:rFonts w:ascii="Traditional Arabic" w:hAnsi="Traditional Arabic" w:cs="QuranTaha"/>
          <w:color w:val="BF8F00" w:themeColor="accent4" w:themeShade="BF"/>
          <w:sz w:val="26"/>
          <w:szCs w:val="26"/>
          <w:rtl/>
        </w:rPr>
        <w:t>الْمَوْلُودِ لَهُ</w:t>
      </w:r>
      <w:r w:rsidRPr="00D61DAE">
        <w:rPr>
          <w:rFonts w:ascii="Traditional Arabic" w:hAnsi="Traditional Arabic" w:cs="QuranTaha" w:hint="cs"/>
          <w:color w:val="BF8F00" w:themeColor="accent4" w:themeShade="BF"/>
          <w:sz w:val="26"/>
          <w:szCs w:val="26"/>
          <w:rtl/>
          <w:lang w:bidi="fa-IR"/>
        </w:rPr>
        <w:t>»</w:t>
      </w:r>
      <w:r>
        <w:rPr>
          <w:rFonts w:ascii="Traditional Arabic" w:hAnsi="Traditional Arabic" w:cs="Abz-2 (Badr)" w:hint="cs"/>
          <w:color w:val="000000" w:themeColor="text1"/>
          <w:sz w:val="28"/>
          <w:szCs w:val="28"/>
          <w:rtl/>
          <w:lang w:bidi="fa-IR"/>
        </w:rPr>
        <w:t xml:space="preserve"> به جای «الوالد» در آيه شريفه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به آن تکيه کرد، همان نکته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ای است که از صاحب الميزان گذشت. علاوه بر اين که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اضافه نمود که در شرع، نوعاً ذکر تکليف و حق با يکديگر مقارنت دارند، و چون آيه شريفه در صدد ايجاد تکليفی برای پدر است، در ابتدا حقی را برای وی بيان کرده و مولود را متعلق به وی ذکر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کند تا بر اساس آن، تکليفی که برای پدر تعيين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قابل توجيه گردد.</w:t>
      </w:r>
    </w:p>
    <w:p w14:paraId="418EF851" w14:textId="4644CBAC" w:rsidR="00A2119D" w:rsidRDefault="00A2119D" w:rsidP="0001174C">
      <w:pPr>
        <w:widowControl w:val="0"/>
        <w:bidi/>
        <w:spacing w:after="0"/>
        <w:ind w:firstLine="284"/>
        <w:jc w:val="both"/>
        <w:rPr>
          <w:rFonts w:ascii="Traditional Arabic" w:hAnsi="Traditional Arabic" w:cs="Abz-2 (Badr)"/>
          <w:color w:val="000000" w:themeColor="text1"/>
          <w:sz w:val="28"/>
          <w:szCs w:val="28"/>
          <w:lang w:bidi="fa-IR"/>
        </w:rPr>
      </w:pPr>
      <w:r>
        <w:rPr>
          <w:rFonts w:ascii="Traditional Arabic" w:hAnsi="Traditional Arabic" w:cs="Abz-2 (Badr)" w:hint="cs"/>
          <w:color w:val="000000" w:themeColor="text1"/>
          <w:sz w:val="28"/>
          <w:szCs w:val="28"/>
          <w:rtl/>
          <w:lang w:bidi="fa-IR"/>
        </w:rPr>
        <w:t xml:space="preserve">اما احتمال دومی که در کلمات فخر رازی گذشت مبنی بر اين که ذکر </w:t>
      </w:r>
      <w:r w:rsidR="00D61DAE" w:rsidRPr="00D61DAE">
        <w:rPr>
          <w:rFonts w:ascii="Traditional Arabic" w:hAnsi="Traditional Arabic" w:cs="QuranTaha" w:hint="cs"/>
          <w:color w:val="BF8F00" w:themeColor="accent4" w:themeShade="BF"/>
          <w:sz w:val="26"/>
          <w:szCs w:val="26"/>
          <w:rtl/>
          <w:lang w:bidi="fa-IR"/>
        </w:rPr>
        <w:t>«</w:t>
      </w:r>
      <w:r w:rsidR="0001174C" w:rsidRPr="0001174C">
        <w:rPr>
          <w:rFonts w:ascii="Traditional Arabic" w:hAnsi="Traditional Arabic" w:cs="QuranTaha"/>
          <w:color w:val="BF8F00" w:themeColor="accent4" w:themeShade="BF"/>
          <w:sz w:val="26"/>
          <w:szCs w:val="26"/>
          <w:rtl/>
        </w:rPr>
        <w:t>الْمَوْلُودِ لَهُ</w:t>
      </w:r>
      <w:r w:rsidR="00D61DAE" w:rsidRPr="00D61DAE">
        <w:rPr>
          <w:rFonts w:ascii="Traditional Arabic" w:hAnsi="Traditional Arabic" w:cs="QuranTaha" w:hint="cs"/>
          <w:color w:val="BF8F00" w:themeColor="accent4" w:themeShade="BF"/>
          <w:sz w:val="26"/>
          <w:szCs w:val="26"/>
          <w:rtl/>
          <w:lang w:bidi="fa-IR"/>
        </w:rPr>
        <w:t>»</w:t>
      </w:r>
      <w:r w:rsidR="00D61DAE">
        <w:rPr>
          <w:rFonts w:ascii="Traditional Arabic" w:hAnsi="Traditional Arabic" w:cs="Abz-2 (Badr)" w:hint="cs"/>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برای اين است که حکم فقط در مواردی که انتساب شرعی وجود دارد، جاری شود، مدعای صحيحی نيست، چون سابقاً گفتيم که «الولد للفراش» نافی انتساب ولد به غير ذی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الفراش به نحو مطلق نيست، بلکه انتساب ولد به غير ذی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الفراش را در جايی که فراشی وجود داشته و احتمال انتساب به ذی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الفراش وجود داشته باشد، نفی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کند.</w:t>
      </w:r>
    </w:p>
    <w:p w14:paraId="5B25E3D5" w14:textId="234023FC" w:rsidR="002141B2" w:rsidRDefault="00A2119D" w:rsidP="002141B2">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اما در خصوص عبارت: </w:t>
      </w:r>
      <w:r w:rsidRPr="00D61DAE">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QuranTaha" w:hint="cs"/>
          <w:color w:val="BF8F00" w:themeColor="accent4" w:themeShade="BF"/>
          <w:sz w:val="26"/>
          <w:szCs w:val="26"/>
          <w:rtl/>
          <w:lang w:bidi="fa-IR"/>
        </w:rPr>
        <w:t>وَعَلَى الْوارِثِ مِثْلُ ذلِكَ</w:t>
      </w:r>
      <w:r w:rsidRPr="00D61DAE">
        <w:rPr>
          <w:rFonts w:ascii="Traditional Arabic" w:hAnsi="Traditional Arabic" w:cs="QuranTaha" w:hint="cs"/>
          <w:color w:val="BF8F00" w:themeColor="accent4" w:themeShade="BF"/>
          <w:sz w:val="26"/>
          <w:szCs w:val="26"/>
          <w:rtl/>
          <w:lang w:bidi="fa-IR"/>
        </w:rPr>
        <w:t>»</w:t>
      </w:r>
      <w:r w:rsidR="00D61DAE">
        <w:rPr>
          <w:rFonts w:ascii="Traditional Arabic" w:hAnsi="Traditional Arabic" w:cs="Abz-2 (Badr)" w:hint="cs"/>
          <w:color w:val="000000" w:themeColor="text1"/>
          <w:sz w:val="28"/>
          <w:szCs w:val="28"/>
          <w:rtl/>
          <w:lang w:bidi="fa-IR"/>
        </w:rPr>
        <w:t xml:space="preserve"> </w:t>
      </w:r>
      <w:r w:rsidR="002141B2">
        <w:rPr>
          <w:rFonts w:ascii="Traditional Arabic" w:hAnsi="Traditional Arabic" w:cs="Abz-2 (Badr)" w:hint="cs"/>
          <w:color w:val="000000" w:themeColor="text1"/>
          <w:sz w:val="28"/>
          <w:szCs w:val="28"/>
          <w:rtl/>
          <w:lang w:bidi="fa-IR"/>
        </w:rPr>
        <w:t>شيخ در تبيان می</w:t>
      </w:r>
      <w:r w:rsidR="002141B2">
        <w:rPr>
          <w:rFonts w:ascii="Traditional Arabic" w:hAnsi="Traditional Arabic" w:cs="Abz-2 (Badr)"/>
          <w:color w:val="000000" w:themeColor="text1"/>
          <w:sz w:val="28"/>
          <w:szCs w:val="28"/>
          <w:rtl/>
          <w:lang w:bidi="fa-IR"/>
        </w:rPr>
        <w:softHyphen/>
      </w:r>
      <w:r w:rsidR="002141B2">
        <w:rPr>
          <w:rFonts w:ascii="Traditional Arabic" w:hAnsi="Traditional Arabic" w:cs="Abz-2 (Badr)" w:hint="cs"/>
          <w:color w:val="000000" w:themeColor="text1"/>
          <w:sz w:val="28"/>
          <w:szCs w:val="28"/>
          <w:rtl/>
          <w:lang w:bidi="fa-IR"/>
        </w:rPr>
        <w:t xml:space="preserve">فرمايد: </w:t>
      </w:r>
      <w:r w:rsidR="002141B2" w:rsidRPr="002141B2">
        <w:rPr>
          <w:rFonts w:ascii="Traditional Arabic" w:hAnsi="Traditional Arabic" w:cs="Abz-2 (Badr)" w:hint="cs"/>
          <w:color w:val="0070C0"/>
          <w:sz w:val="28"/>
          <w:szCs w:val="28"/>
          <w:rtl/>
          <w:lang w:bidi="fa-IR"/>
        </w:rPr>
        <w:t xml:space="preserve">«وقوله: </w:t>
      </w:r>
      <w:r w:rsidR="002141B2" w:rsidRPr="002141B2">
        <w:rPr>
          <w:rFonts w:ascii="Traditional Arabic" w:hAnsi="Traditional Arabic" w:cs="QuranTaha" w:hint="cs"/>
          <w:color w:val="BF8F00" w:themeColor="accent4" w:themeShade="BF"/>
          <w:sz w:val="26"/>
          <w:szCs w:val="26"/>
          <w:rtl/>
          <w:lang w:bidi="fa-IR"/>
        </w:rPr>
        <w:t>«وَعَلَى الْوارِثِ مِثْلُ ذلِكَ»</w:t>
      </w:r>
      <w:r w:rsidR="002141B2" w:rsidRPr="002141B2">
        <w:rPr>
          <w:rFonts w:ascii="Traditional Arabic" w:hAnsi="Traditional Arabic" w:cs="Abz-2 (Badr)" w:hint="cs"/>
          <w:color w:val="0070C0"/>
          <w:sz w:val="28"/>
          <w:szCs w:val="28"/>
          <w:rtl/>
          <w:lang w:bidi="fa-IR"/>
        </w:rPr>
        <w:t xml:space="preserve"> قال الحسن، وقتادة، والسدي: الوارث للولد. وقال قبيضة بن ذؤيب: هو الوالد، والأوّل أقوى... وأمّا نفقة ما بعد الرضاع فاختلفوا، فعندنا يلزم الوالدين وإن عليا النفقة على الولد وإن نزل، ولا يلزم غيرهم‏...</w:t>
      </w:r>
      <w:r w:rsidR="002141B2">
        <w:rPr>
          <w:rFonts w:ascii="Traditional Arabic" w:hAnsi="Traditional Arabic" w:cs="Abz-2 (Badr)" w:hint="cs"/>
          <w:color w:val="0070C0"/>
          <w:sz w:val="28"/>
          <w:szCs w:val="28"/>
          <w:rtl/>
          <w:lang w:bidi="fa-IR"/>
        </w:rPr>
        <w:t xml:space="preserve"> </w:t>
      </w:r>
      <w:r w:rsidR="002141B2" w:rsidRPr="002141B2">
        <w:rPr>
          <w:rFonts w:ascii="Traditional Arabic" w:hAnsi="Traditional Arabic" w:cs="Abz-2 (Badr)" w:hint="cs"/>
          <w:color w:val="0070C0"/>
          <w:sz w:val="28"/>
          <w:szCs w:val="28"/>
          <w:rtl/>
          <w:lang w:bidi="fa-IR"/>
        </w:rPr>
        <w:t>وقد روي في أخبارنا أن</w:t>
      </w:r>
      <w:r w:rsidR="002141B2">
        <w:rPr>
          <w:rFonts w:ascii="Traditional Arabic" w:hAnsi="Traditional Arabic" w:cs="Abz-2 (Badr)" w:hint="cs"/>
          <w:color w:val="0070C0"/>
          <w:sz w:val="28"/>
          <w:szCs w:val="28"/>
          <w:rtl/>
          <w:lang w:bidi="fa-IR"/>
        </w:rPr>
        <w:t>ّ</w:t>
      </w:r>
      <w:r w:rsidR="002141B2" w:rsidRPr="002141B2">
        <w:rPr>
          <w:rFonts w:ascii="Traditional Arabic" w:hAnsi="Traditional Arabic" w:cs="Abz-2 (Badr)" w:hint="cs"/>
          <w:color w:val="0070C0"/>
          <w:sz w:val="28"/>
          <w:szCs w:val="28"/>
          <w:rtl/>
          <w:lang w:bidi="fa-IR"/>
        </w:rPr>
        <w:t xml:space="preserve"> على الوارث كائناً من كان النفقة</w:t>
      </w:r>
      <w:r w:rsidR="002141B2">
        <w:rPr>
          <w:rFonts w:ascii="Traditional Arabic" w:hAnsi="Traditional Arabic" w:cs="Abz-2 (Badr)" w:hint="cs"/>
          <w:color w:val="0070C0"/>
          <w:sz w:val="28"/>
          <w:szCs w:val="28"/>
          <w:rtl/>
          <w:lang w:bidi="fa-IR"/>
        </w:rPr>
        <w:t xml:space="preserve">، </w:t>
      </w:r>
      <w:r w:rsidR="002141B2" w:rsidRPr="002141B2">
        <w:rPr>
          <w:rFonts w:ascii="Traditional Arabic" w:hAnsi="Traditional Arabic" w:cs="Abz-2 (Badr)" w:hint="cs"/>
          <w:color w:val="0070C0"/>
          <w:sz w:val="28"/>
          <w:szCs w:val="28"/>
          <w:rtl/>
          <w:lang w:bidi="fa-IR"/>
        </w:rPr>
        <w:t>وهو ظاهر القرآن</w:t>
      </w:r>
      <w:r w:rsidR="002141B2">
        <w:rPr>
          <w:rFonts w:ascii="Traditional Arabic" w:hAnsi="Traditional Arabic" w:cs="Abz-2 (Badr)" w:hint="cs"/>
          <w:color w:val="0070C0"/>
          <w:sz w:val="28"/>
          <w:szCs w:val="28"/>
          <w:rtl/>
          <w:lang w:bidi="fa-IR"/>
        </w:rPr>
        <w:t>.»</w:t>
      </w:r>
      <w:r w:rsidR="002141B2" w:rsidRPr="0001174C">
        <w:rPr>
          <w:rStyle w:val="FootnoteReference"/>
          <w:rFonts w:ascii="Traditional Arabic" w:hAnsi="Traditional Arabic" w:cs="Abz-2 (Badr)"/>
          <w:color w:val="000000" w:themeColor="text1"/>
          <w:sz w:val="28"/>
          <w:szCs w:val="28"/>
          <w:rtl/>
          <w:lang w:bidi="fa-IR"/>
        </w:rPr>
        <w:footnoteReference w:id="1"/>
      </w:r>
    </w:p>
    <w:p w14:paraId="46A14458" w14:textId="5E10DDD2" w:rsidR="00A2119D" w:rsidRPr="00A2119D" w:rsidRDefault="00A2119D" w:rsidP="002141B2">
      <w:pPr>
        <w:widowControl w:val="0"/>
        <w:bidi/>
        <w:spacing w:after="0"/>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lastRenderedPageBreak/>
        <w:t xml:space="preserve">فخر رازی </w:t>
      </w:r>
      <w:r w:rsidR="002141B2">
        <w:rPr>
          <w:rFonts w:ascii="Traditional Arabic" w:hAnsi="Traditional Arabic" w:cs="Abz-2 (Badr)" w:hint="cs"/>
          <w:color w:val="000000" w:themeColor="text1"/>
          <w:sz w:val="28"/>
          <w:szCs w:val="28"/>
          <w:rtl/>
          <w:lang w:bidi="fa-IR"/>
        </w:rPr>
        <w:t xml:space="preserve">نيز </w:t>
      </w:r>
      <w:r>
        <w:rPr>
          <w:rFonts w:ascii="Traditional Arabic" w:hAnsi="Traditional Arabic" w:cs="Abz-2 (Badr)" w:hint="cs"/>
          <w:color w:val="000000" w:themeColor="text1"/>
          <w:sz w:val="28"/>
          <w:szCs w:val="28"/>
          <w:rtl/>
          <w:lang w:bidi="fa-IR"/>
        </w:rPr>
        <w:t>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گويد: </w:t>
      </w:r>
      <w:r w:rsidRP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أم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ا قوله تعالى: </w:t>
      </w:r>
      <w:r w:rsidR="00D61DAE" w:rsidRPr="00D61DAE">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QuranTaha" w:hint="cs"/>
          <w:color w:val="BF8F00" w:themeColor="accent4" w:themeShade="BF"/>
          <w:sz w:val="26"/>
          <w:szCs w:val="26"/>
          <w:rtl/>
          <w:lang w:bidi="fa-IR"/>
        </w:rPr>
        <w:t>وَعَلَى الْوارِثِ مِثْلُ ذلِكَ</w:t>
      </w:r>
      <w:r w:rsidR="00D61DAE" w:rsidRPr="00D61DAE">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Abz-2 (Badr)" w:hint="cs"/>
          <w:color w:val="0070C0"/>
          <w:sz w:val="28"/>
          <w:szCs w:val="28"/>
          <w:rtl/>
          <w:lang w:bidi="fa-IR"/>
        </w:rPr>
        <w:t xml:space="preserve"> فاعلم 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ه لم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ا تقد</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م ذكر الولد وذكر الوالد وذكر الوالدات</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احتمل في الوارث أن يكون مضافا</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إلى واحد من هؤلاء، والعلماء لم يدعوا وجها</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يمكن القول به إلا وقال به بعضهم.</w:t>
      </w:r>
    </w:p>
    <w:p w14:paraId="634A773E" w14:textId="77777777" w:rsidR="00D61DAE" w:rsidRDefault="00A2119D" w:rsidP="00D61DAE">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فالقول الأو</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ل: وهو منقول عن ابن عباس رضي الله عنهما: 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المراد وارث الأب، و ذلك لأن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قوله:</w:t>
      </w:r>
      <w:r w:rsidR="00D61DAE">
        <w:rPr>
          <w:rFonts w:ascii="Traditional Arabic" w:hAnsi="Traditional Arabic" w:cs="Abz-2 (Badr)" w:hint="cs"/>
          <w:color w:val="0070C0"/>
          <w:sz w:val="28"/>
          <w:szCs w:val="28"/>
          <w:rtl/>
          <w:lang w:bidi="fa-IR"/>
        </w:rPr>
        <w:t xml:space="preserve"> </w:t>
      </w:r>
      <w:r w:rsidR="00D61DAE" w:rsidRPr="00D61DAE">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QuranTaha" w:hint="cs"/>
          <w:color w:val="BF8F00" w:themeColor="accent4" w:themeShade="BF"/>
          <w:sz w:val="26"/>
          <w:szCs w:val="26"/>
          <w:rtl/>
          <w:lang w:bidi="fa-IR"/>
        </w:rPr>
        <w:t>وَعَلَى الْوارِثِ مِثْلُ ذلِكَ</w:t>
      </w:r>
      <w:r w:rsidR="00D61DAE" w:rsidRPr="00D61DAE">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Abz-2 (Badr)" w:hint="cs"/>
          <w:color w:val="0070C0"/>
          <w:sz w:val="28"/>
          <w:szCs w:val="28"/>
          <w:rtl/>
          <w:lang w:bidi="fa-IR"/>
        </w:rPr>
        <w:t xml:space="preserve">‏ معطوف على قوله: </w:t>
      </w:r>
      <w:r w:rsidR="00D61DAE" w:rsidRPr="00D61DAE">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QuranTaha" w:hint="cs"/>
          <w:color w:val="BF8F00" w:themeColor="accent4" w:themeShade="BF"/>
          <w:sz w:val="26"/>
          <w:szCs w:val="26"/>
          <w:rtl/>
          <w:lang w:bidi="fa-IR"/>
        </w:rPr>
        <w:t>وَعَلَى الْمَوْلُودِ لَهُ رِزْقُهُنَّ وَكِسْوَتُهُنَّ بِالْمَعْرُوفِ</w:t>
      </w:r>
      <w:r w:rsidR="00D61DAE" w:rsidRPr="00D61DAE">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Abz-2 (Badr)" w:hint="cs"/>
          <w:color w:val="0070C0"/>
          <w:sz w:val="28"/>
          <w:szCs w:val="28"/>
          <w:rtl/>
          <w:lang w:bidi="fa-IR"/>
        </w:rPr>
        <w:t xml:space="preserve"> وما بينهما اعتراض لبيان المعروف، والمعنى 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المولود له إن مات فعلى وارثه مثل ما وجب عليه من الرزق والكسوة، يعني إن مات المولود له لزم وارثه أن يقوم مقامه في أن يرزقها ويكسوها بالشرط المذكور، وهو رعاية المعروف وتجن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ب الضرار</w:t>
      </w:r>
      <w:r w:rsidR="00D61DAE">
        <w:rPr>
          <w:rFonts w:ascii="Traditional Arabic" w:hAnsi="Traditional Arabic" w:cs="Abz-2 (Badr)" w:hint="cs"/>
          <w:color w:val="0070C0"/>
          <w:sz w:val="28"/>
          <w:szCs w:val="28"/>
          <w:rtl/>
          <w:lang w:bidi="fa-IR"/>
        </w:rPr>
        <w:t>.</w:t>
      </w:r>
    </w:p>
    <w:p w14:paraId="00C0ACB8" w14:textId="33137A44" w:rsidR="00D61DAE" w:rsidRDefault="00A2119D" w:rsidP="00D61DAE">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قال أبو مسلم ال</w:t>
      </w:r>
      <w:r w:rsidR="00D61DAE">
        <w:rPr>
          <w:rFonts w:ascii="Traditional Arabic" w:hAnsi="Traditional Arabic" w:cs="Abz-2 (Badr)" w:hint="cs"/>
          <w:color w:val="0070C0"/>
          <w:sz w:val="28"/>
          <w:szCs w:val="28"/>
          <w:rtl/>
          <w:lang w:bidi="fa-IR"/>
        </w:rPr>
        <w:t>إ</w:t>
      </w:r>
      <w:r w:rsidRPr="00A2119D">
        <w:rPr>
          <w:rFonts w:ascii="Traditional Arabic" w:hAnsi="Traditional Arabic" w:cs="Abz-2 (Badr)" w:hint="cs"/>
          <w:color w:val="0070C0"/>
          <w:sz w:val="28"/>
          <w:szCs w:val="28"/>
          <w:rtl/>
          <w:lang w:bidi="fa-IR"/>
        </w:rPr>
        <w:t>صفهاني</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هذا القول ضعيف، لأن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ا إذا حملنا اللفظ على وارث الو</w:t>
      </w:r>
      <w:r w:rsidR="005B5F71">
        <w:rPr>
          <w:rFonts w:ascii="Traditional Arabic" w:hAnsi="Traditional Arabic" w:cs="Abz-2 (Badr)" w:hint="cs"/>
          <w:color w:val="0070C0"/>
          <w:sz w:val="28"/>
          <w:szCs w:val="28"/>
          <w:rtl/>
          <w:lang w:bidi="fa-IR"/>
        </w:rPr>
        <w:t>ا</w:t>
      </w:r>
      <w:r w:rsidRPr="00A2119D">
        <w:rPr>
          <w:rFonts w:ascii="Traditional Arabic" w:hAnsi="Traditional Arabic" w:cs="Abz-2 (Badr)" w:hint="cs"/>
          <w:color w:val="0070C0"/>
          <w:sz w:val="28"/>
          <w:szCs w:val="28"/>
          <w:rtl/>
          <w:lang w:bidi="fa-IR"/>
        </w:rPr>
        <w:t>لد والولد أيضا</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وارثه، أد</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ى إلى وجوب نفقته على غيره حال ماله مال ينفق منه وإن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هذا غير جائز</w:t>
      </w:r>
      <w:r w:rsidR="00D61DAE">
        <w:rPr>
          <w:rFonts w:ascii="Traditional Arabic" w:hAnsi="Traditional Arabic" w:cs="Abz-2 (Badr)" w:hint="cs"/>
          <w:color w:val="0070C0"/>
          <w:sz w:val="28"/>
          <w:szCs w:val="28"/>
          <w:rtl/>
          <w:lang w:bidi="fa-IR"/>
        </w:rPr>
        <w:t>.</w:t>
      </w:r>
    </w:p>
    <w:p w14:paraId="6259F8E1" w14:textId="726D89E3" w:rsidR="00A2119D" w:rsidRPr="00A2119D" w:rsidRDefault="00A2119D" w:rsidP="00D61DAE">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ويمكن أن يجاب عنه بأن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الصبي</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إذا ورث من أبيه مالا</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فإن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ه يحتاج إلى من يقوم بتعه</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ده وينفق ذلك المال عليه بالمعروف ويدفع الضرار عنه، وهذه الأشياء يمكن إيجابها على وارث الأب.</w:t>
      </w:r>
    </w:p>
    <w:p w14:paraId="09B744C7" w14:textId="77777777" w:rsidR="00D61DAE" w:rsidRDefault="00A2119D" w:rsidP="00A2119D">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القول الثاني: 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المراد وارث الأب</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يجب عليه عند موت الأب كل</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ما كان واجبا</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على الأب</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وهذا قول الحسن وقتادة وأبي مسلم والقاضي</w:t>
      </w:r>
      <w:r w:rsidR="00D61DAE">
        <w:rPr>
          <w:rFonts w:ascii="Traditional Arabic" w:hAnsi="Traditional Arabic" w:cs="Abz-2 (Badr)" w:hint="cs"/>
          <w:color w:val="0070C0"/>
          <w:sz w:val="28"/>
          <w:szCs w:val="28"/>
          <w:rtl/>
          <w:lang w:bidi="fa-IR"/>
        </w:rPr>
        <w:t>.</w:t>
      </w:r>
    </w:p>
    <w:p w14:paraId="0D2BD590" w14:textId="77777777" w:rsidR="00D61DAE" w:rsidRDefault="00A2119D" w:rsidP="00D61DAE">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ثم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القائلون بهذا القول اختلفوا في 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ه أي</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وارث هو؟ فقيل: هو العصبات دون الأ</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وال</w:t>
      </w:r>
      <w:r w:rsidR="00D61DAE">
        <w:rPr>
          <w:rFonts w:ascii="Traditional Arabic" w:hAnsi="Traditional Arabic" w:cs="Abz-2 (Badr)" w:hint="cs"/>
          <w:color w:val="0070C0"/>
          <w:sz w:val="28"/>
          <w:szCs w:val="28"/>
          <w:rtl/>
          <w:lang w:bidi="fa-IR"/>
        </w:rPr>
        <w:t>إ</w:t>
      </w:r>
      <w:r w:rsidRPr="00A2119D">
        <w:rPr>
          <w:rFonts w:ascii="Traditional Arabic" w:hAnsi="Traditional Arabic" w:cs="Abz-2 (Badr)" w:hint="cs"/>
          <w:color w:val="0070C0"/>
          <w:sz w:val="28"/>
          <w:szCs w:val="28"/>
          <w:rtl/>
          <w:lang w:bidi="fa-IR"/>
        </w:rPr>
        <w:t>خوة من الأ</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م</w:t>
      </w:r>
      <w:r w:rsidR="00D61DAE">
        <w:rPr>
          <w:rFonts w:ascii="Traditional Arabic" w:hAnsi="Traditional Arabic" w:cs="Abz-2 (Badr)" w:hint="cs"/>
          <w:color w:val="0070C0"/>
          <w:sz w:val="28"/>
          <w:szCs w:val="28"/>
          <w:rtl/>
          <w:lang w:bidi="fa-IR"/>
        </w:rPr>
        <w:t xml:space="preserve">ّ؛ </w:t>
      </w:r>
      <w:r w:rsidRPr="00A2119D">
        <w:rPr>
          <w:rFonts w:ascii="Traditional Arabic" w:hAnsi="Traditional Arabic" w:cs="Abz-2 (Badr)" w:hint="cs"/>
          <w:color w:val="0070C0"/>
          <w:sz w:val="28"/>
          <w:szCs w:val="28"/>
          <w:rtl/>
          <w:lang w:bidi="fa-IR"/>
        </w:rPr>
        <w:t>وهو قول عمر والحسن ومجاهد وعطاء وسفيان وإبراهيم</w:t>
      </w:r>
      <w:r w:rsidR="00D61DAE">
        <w:rPr>
          <w:rFonts w:ascii="Traditional Arabic" w:hAnsi="Traditional Arabic" w:cs="Abz-2 (Badr)" w:hint="cs"/>
          <w:color w:val="0070C0"/>
          <w:sz w:val="28"/>
          <w:szCs w:val="28"/>
          <w:rtl/>
          <w:lang w:bidi="fa-IR"/>
        </w:rPr>
        <w:t>.</w:t>
      </w:r>
    </w:p>
    <w:p w14:paraId="6142649C" w14:textId="77777777" w:rsidR="00D61DAE" w:rsidRDefault="00A2119D" w:rsidP="00D61DAE">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وقيل: هو وارث الصبي</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من الرجال والنساء على قدر النصيب من الميراث</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وهو قول قتادة وابن أبي ليلى، قالوا: النفقة على قدر الميراث</w:t>
      </w:r>
      <w:r w:rsidR="00D61DAE">
        <w:rPr>
          <w:rFonts w:ascii="Traditional Arabic" w:hAnsi="Traditional Arabic" w:cs="Abz-2 (Badr)" w:hint="cs"/>
          <w:color w:val="0070C0"/>
          <w:sz w:val="28"/>
          <w:szCs w:val="28"/>
          <w:rtl/>
          <w:lang w:bidi="fa-IR"/>
        </w:rPr>
        <w:t>.</w:t>
      </w:r>
    </w:p>
    <w:p w14:paraId="2EEE72D0" w14:textId="77777777" w:rsidR="00D61DAE" w:rsidRDefault="00A2119D" w:rsidP="00D61DAE">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وقيل: الوارث مم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ن كان ذا رحم محرم دون غيرهم من ابن العم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والمولى</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وهو قول أبي حنيفة وأصحابه</w:t>
      </w:r>
      <w:r w:rsidR="00D61DAE">
        <w:rPr>
          <w:rFonts w:ascii="Traditional Arabic" w:hAnsi="Traditional Arabic" w:cs="Abz-2 (Badr)" w:hint="cs"/>
          <w:color w:val="0070C0"/>
          <w:sz w:val="28"/>
          <w:szCs w:val="28"/>
          <w:rtl/>
          <w:lang w:bidi="fa-IR"/>
        </w:rPr>
        <w:t>.</w:t>
      </w:r>
    </w:p>
    <w:p w14:paraId="30ADC35B" w14:textId="66EC3AA8" w:rsidR="00A2119D" w:rsidRPr="00A2119D" w:rsidRDefault="00A2119D" w:rsidP="00D61DAE">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lastRenderedPageBreak/>
        <w:t>واعلم 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ظاهر الكلام يقتضي أن لا فضل بين وارث ووارث، لأن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ه تعالى أطلق اللفظ</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فغير ذي الرحم بمنزلة ذي الرحم، كما 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البعيد كالقريب، والنساء كالرجال، ولولا 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الأ</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خرجت من ذلك من حيث مر</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ذكرها بإيجاب الحق</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لها، لصح</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أيضا</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دخولها تحت الكلام، لأن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ها قد تكون وارث كغيرها.</w:t>
      </w:r>
    </w:p>
    <w:p w14:paraId="152C37F4" w14:textId="5AA09EF7" w:rsidR="00A2119D" w:rsidRPr="00A2119D" w:rsidRDefault="00A2119D" w:rsidP="00A2119D">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القول الثالث: المراد من الوارث الباقي من الأبوين، وجاء في الدعاء المشهور: واجعله الوارث من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ا، أي الباقي</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وهو قول سفيان وجماعة.</w:t>
      </w:r>
    </w:p>
    <w:p w14:paraId="5C6B4077" w14:textId="687F54B3" w:rsidR="00A2119D" w:rsidRPr="00A2119D" w:rsidRDefault="00A2119D" w:rsidP="00A2119D">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القول الرابع: أراد بالوارث الصبي</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نفسه الذي هو وارث أبيه المتوف</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ى</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فإن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ه إن كان له مال وجب أجر الرضاعة في ماله، وإن لم يكن له مال أ</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جبرت أ</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ه على إرضاعه ولا يجبر على نفقة الصبي إلا الوالدان</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وهو قول مالك والشافعي.</w:t>
      </w:r>
    </w:p>
    <w:p w14:paraId="46415E43" w14:textId="3E0C7EBC" w:rsidR="00A2119D" w:rsidRDefault="00A2119D" w:rsidP="00D61DAE">
      <w:pPr>
        <w:widowControl w:val="0"/>
        <w:bidi/>
        <w:spacing w:after="0"/>
        <w:ind w:firstLine="284"/>
        <w:jc w:val="both"/>
        <w:rPr>
          <w:rFonts w:ascii="Traditional Arabic" w:hAnsi="Traditional Arabic" w:cs="Abz-2 (Badr)"/>
          <w:color w:val="0070C0"/>
          <w:sz w:val="28"/>
          <w:szCs w:val="28"/>
          <w:rtl/>
          <w:lang w:bidi="fa-IR"/>
        </w:rPr>
      </w:pPr>
      <w:r w:rsidRPr="00A2119D">
        <w:rPr>
          <w:rFonts w:ascii="Traditional Arabic" w:hAnsi="Traditional Arabic" w:cs="Abz-2 (Badr)" w:hint="cs"/>
          <w:color w:val="0070C0"/>
          <w:sz w:val="28"/>
          <w:szCs w:val="28"/>
          <w:rtl/>
          <w:lang w:bidi="fa-IR"/>
        </w:rPr>
        <w:t>أم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ا قوله تعالى: </w:t>
      </w:r>
      <w:r w:rsidR="00D61DAE" w:rsidRPr="00D61DAE">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QuranTaha" w:hint="cs"/>
          <w:color w:val="BF8F00" w:themeColor="accent4" w:themeShade="BF"/>
          <w:sz w:val="26"/>
          <w:szCs w:val="26"/>
          <w:rtl/>
          <w:lang w:bidi="fa-IR"/>
        </w:rPr>
        <w:t>مِثْلُ ذلِكَ</w:t>
      </w:r>
      <w:r w:rsidR="00D61DAE" w:rsidRPr="00D61DAE">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QuranTaha" w:hint="cs"/>
          <w:color w:val="BF8F00" w:themeColor="accent4" w:themeShade="BF"/>
          <w:sz w:val="26"/>
          <w:szCs w:val="26"/>
          <w:rtl/>
          <w:lang w:bidi="fa-IR"/>
        </w:rPr>
        <w:t>‏</w:t>
      </w:r>
      <w:r w:rsidRPr="00A2119D">
        <w:rPr>
          <w:rFonts w:ascii="Traditional Arabic" w:hAnsi="Traditional Arabic" w:cs="Abz-2 (Badr)" w:hint="cs"/>
          <w:color w:val="0070C0"/>
          <w:sz w:val="28"/>
          <w:szCs w:val="28"/>
          <w:rtl/>
          <w:lang w:bidi="fa-IR"/>
        </w:rPr>
        <w:t xml:space="preserve"> فقيل</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من النفقة والكسوة</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عن إبراهيم</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وقيل: من ترك الإضرار</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عن الشعبي والزهري والضح</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اك</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وقيل: منهما</w:t>
      </w:r>
      <w:r w:rsidR="00D61DAE">
        <w:rPr>
          <w:rFonts w:ascii="Traditional Arabic" w:hAnsi="Traditional Arabic" w:cs="Abz-2 (Badr)" w:hint="cs"/>
          <w:color w:val="0070C0"/>
          <w:sz w:val="28"/>
          <w:szCs w:val="28"/>
          <w:rtl/>
          <w:lang w:bidi="fa-IR"/>
        </w:rPr>
        <w:t>؛</w:t>
      </w:r>
      <w:r w:rsidRPr="00A2119D">
        <w:rPr>
          <w:rFonts w:ascii="Traditional Arabic" w:hAnsi="Traditional Arabic" w:cs="Abz-2 (Badr)" w:hint="cs"/>
          <w:color w:val="0070C0"/>
          <w:sz w:val="28"/>
          <w:szCs w:val="28"/>
          <w:rtl/>
          <w:lang w:bidi="fa-IR"/>
        </w:rPr>
        <w:t xml:space="preserve"> عن أكثر أهل العلم</w:t>
      </w:r>
      <w:r w:rsidR="00D61DAE">
        <w:rPr>
          <w:rFonts w:ascii="Traditional Arabic" w:hAnsi="Traditional Arabic" w:cs="Abz-2 (Badr)" w:hint="cs"/>
          <w:color w:val="0070C0"/>
          <w:sz w:val="28"/>
          <w:szCs w:val="28"/>
          <w:rtl/>
          <w:lang w:bidi="fa-IR"/>
        </w:rPr>
        <w:t>.»</w:t>
      </w:r>
      <w:r w:rsidR="00D61DAE" w:rsidRPr="0001174C">
        <w:rPr>
          <w:rStyle w:val="FootnoteReference"/>
          <w:rFonts w:ascii="Traditional Arabic" w:hAnsi="Traditional Arabic" w:cs="Abz-2 (Badr)"/>
          <w:color w:val="000000" w:themeColor="text1"/>
          <w:sz w:val="28"/>
          <w:szCs w:val="28"/>
          <w:rtl/>
          <w:lang w:bidi="fa-IR"/>
        </w:rPr>
        <w:footnoteReference w:id="2"/>
      </w:r>
    </w:p>
    <w:p w14:paraId="1F4406F9" w14:textId="1EFDCBBC" w:rsidR="0001174C" w:rsidRPr="0001174C" w:rsidRDefault="0001174C" w:rsidP="0001174C">
      <w:pPr>
        <w:widowControl w:val="0"/>
        <w:bidi/>
        <w:spacing w:after="0"/>
        <w:ind w:firstLine="284"/>
        <w:jc w:val="both"/>
        <w:rPr>
          <w:rFonts w:ascii="Traditional Arabic" w:hAnsi="Traditional Arabic" w:cs="Abz-2 (Badr)"/>
          <w:color w:val="4472C4" w:themeColor="accent1"/>
          <w:sz w:val="28"/>
          <w:szCs w:val="28"/>
          <w:rtl/>
          <w:lang w:bidi="fa-IR"/>
        </w:rPr>
      </w:pPr>
      <w:r w:rsidRPr="0001174C">
        <w:rPr>
          <w:rFonts w:ascii="Traditional Arabic" w:hAnsi="Traditional Arabic" w:cs="Abz-2 (Badr)" w:hint="cs"/>
          <w:color w:val="000000" w:themeColor="text1"/>
          <w:sz w:val="28"/>
          <w:szCs w:val="28"/>
          <w:rtl/>
          <w:lang w:bidi="fa-IR"/>
        </w:rPr>
        <w:t xml:space="preserve">ابن عاشور نيز در بخشی از کلام خود گفته است: </w:t>
      </w:r>
      <w:r w:rsidRPr="0001174C">
        <w:rPr>
          <w:rFonts w:ascii="Traditional Arabic" w:hAnsi="Traditional Arabic" w:cs="Abz-2 (Badr)" w:hint="cs"/>
          <w:color w:val="4472C4" w:themeColor="accent1"/>
          <w:sz w:val="28"/>
          <w:szCs w:val="28"/>
          <w:rtl/>
          <w:lang w:bidi="fa-IR"/>
        </w:rPr>
        <w:t>«ات</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فق علماء الإسلام على أن</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ظاهر الآية غير مراد؛ إذ لا قائل بوجوب نفقة المرضع على وارث الأب، سواء كان إيجابها على الوارث في المال الموروث بأن تكون مبدأة على المواريث </w:t>
      </w:r>
      <w:r>
        <w:rPr>
          <w:rFonts w:ascii="Traditional Arabic" w:hAnsi="Traditional Arabic" w:cs="Abz-2 (Badr)" w:hint="cs"/>
          <w:color w:val="4472C4" w:themeColor="accent1"/>
          <w:sz w:val="28"/>
          <w:szCs w:val="28"/>
          <w:rtl/>
          <w:lang w:bidi="fa-IR"/>
        </w:rPr>
        <w:t xml:space="preserve">ـ </w:t>
      </w:r>
      <w:r w:rsidRPr="0001174C">
        <w:rPr>
          <w:rFonts w:ascii="Traditional Arabic" w:hAnsi="Traditional Arabic" w:cs="Abz-2 (Badr)" w:hint="cs"/>
          <w:color w:val="4472C4" w:themeColor="accent1"/>
          <w:sz w:val="28"/>
          <w:szCs w:val="28"/>
          <w:rtl/>
          <w:lang w:bidi="fa-IR"/>
        </w:rPr>
        <w:t>للإجماع على أن</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ه لا يبدأ إلا بالتجهيز ثم</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الدين ثم</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الوصية، ولأن</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الرضيع له حظ</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ه في المال الموروث وهو إذا صار ذا مال لم تجب نفقته على غيره</w:t>
      </w:r>
      <w:r>
        <w:rPr>
          <w:rFonts w:ascii="Traditional Arabic" w:hAnsi="Traditional Arabic" w:cs="Abz-2 (Badr)" w:hint="cs"/>
          <w:color w:val="4472C4" w:themeColor="accent1"/>
          <w:sz w:val="28"/>
          <w:szCs w:val="28"/>
          <w:rtl/>
          <w:lang w:bidi="fa-IR"/>
        </w:rPr>
        <w:t xml:space="preserve"> ـ </w:t>
      </w:r>
      <w:r w:rsidRPr="0001174C">
        <w:rPr>
          <w:rFonts w:ascii="Traditional Arabic" w:hAnsi="Traditional Arabic" w:cs="Abz-2 (Badr)" w:hint="cs"/>
          <w:color w:val="4472C4" w:themeColor="accent1"/>
          <w:sz w:val="28"/>
          <w:szCs w:val="28"/>
          <w:rtl/>
          <w:lang w:bidi="fa-IR"/>
        </w:rPr>
        <w:t>أم كان إيجابها على الوارث لو لم يسعها المال الموروث فيكمّل من يده، ولذلك طرقوا في هذا باب التأويل</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إم</w:t>
      </w:r>
      <w:r>
        <w:rPr>
          <w:rFonts w:ascii="Traditional Arabic" w:hAnsi="Traditional Arabic" w:cs="Abz-2 (Badr)" w:hint="cs"/>
          <w:color w:val="4472C4" w:themeColor="accent1"/>
          <w:sz w:val="28"/>
          <w:szCs w:val="28"/>
          <w:rtl/>
          <w:lang w:bidi="fa-IR"/>
        </w:rPr>
        <w:t>ّا</w:t>
      </w:r>
      <w:r w:rsidRPr="0001174C">
        <w:rPr>
          <w:rFonts w:ascii="Traditional Arabic" w:hAnsi="Traditional Arabic" w:cs="Abz-2 (Badr)" w:hint="cs"/>
          <w:color w:val="4472C4" w:themeColor="accent1"/>
          <w:sz w:val="28"/>
          <w:szCs w:val="28"/>
          <w:rtl/>
          <w:lang w:bidi="fa-IR"/>
        </w:rPr>
        <w:t xml:space="preserve"> تأويل معنى الوارث وإم</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ا تأويل مرجع الإشارة وإم</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ا كليهما.</w:t>
      </w:r>
    </w:p>
    <w:p w14:paraId="0FCC456B" w14:textId="7AF476DB" w:rsidR="0001174C" w:rsidRPr="0001174C" w:rsidRDefault="0001174C" w:rsidP="00675E3A">
      <w:pPr>
        <w:widowControl w:val="0"/>
        <w:bidi/>
        <w:spacing w:after="0" w:line="250" w:lineRule="auto"/>
        <w:ind w:firstLine="284"/>
        <w:jc w:val="both"/>
        <w:rPr>
          <w:rFonts w:ascii="Traditional Arabic" w:hAnsi="Traditional Arabic" w:cs="Abz-2 (Badr)"/>
          <w:color w:val="000000" w:themeColor="text1"/>
          <w:sz w:val="28"/>
          <w:szCs w:val="28"/>
          <w:rtl/>
          <w:lang w:bidi="fa-IR"/>
        </w:rPr>
      </w:pPr>
      <w:r w:rsidRPr="0001174C">
        <w:rPr>
          <w:rFonts w:ascii="Traditional Arabic" w:hAnsi="Traditional Arabic" w:cs="Abz-2 (Badr)" w:hint="cs"/>
          <w:color w:val="4472C4" w:themeColor="accent1"/>
          <w:sz w:val="28"/>
          <w:szCs w:val="28"/>
          <w:rtl/>
          <w:lang w:bidi="fa-IR"/>
        </w:rPr>
        <w:t>فقال الجمهور: المراد وارث الطفل</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أي من لو مات الطفل لورثه هو</w:t>
      </w:r>
      <w:r>
        <w:rPr>
          <w:rFonts w:ascii="Traditional Arabic" w:hAnsi="Traditional Arabic" w:cs="Abz-2 (Badr)" w:hint="cs"/>
          <w:color w:val="4472C4" w:themeColor="accent1"/>
          <w:sz w:val="28"/>
          <w:szCs w:val="28"/>
          <w:rtl/>
          <w:lang w:bidi="fa-IR"/>
        </w:rPr>
        <w:t xml:space="preserve">... </w:t>
      </w:r>
      <w:r w:rsidRPr="0001174C">
        <w:rPr>
          <w:rFonts w:ascii="Traditional Arabic" w:hAnsi="Traditional Arabic" w:cs="Abz-2 (Badr)" w:hint="cs"/>
          <w:color w:val="4472C4" w:themeColor="accent1"/>
          <w:sz w:val="28"/>
          <w:szCs w:val="28"/>
          <w:rtl/>
          <w:lang w:bidi="fa-IR"/>
        </w:rPr>
        <w:t>فيتقر</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ر بالآية أن</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النفقة واجبة على قرابة الرضيع وهم بالضرورة قرابة أبيه</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أي</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إذا مات أبوه ولم يترك مالا</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تجب نفقة الرضيع على الأقارب على حسب قربهم في الإرث ويجري ذلك على الخلاف في توريث ذي الرحم المحرم</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فهؤلاء يرون حق</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ا</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على القرابة إنفاق العاجز في مالهم كما أن</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هم </w:t>
      </w:r>
      <w:r w:rsidRPr="0001174C">
        <w:rPr>
          <w:rFonts w:ascii="Traditional Arabic" w:hAnsi="Traditional Arabic" w:cs="Abz-2 (Badr)" w:hint="cs"/>
          <w:color w:val="4472C4" w:themeColor="accent1"/>
          <w:sz w:val="28"/>
          <w:szCs w:val="28"/>
          <w:rtl/>
          <w:lang w:bidi="fa-IR"/>
        </w:rPr>
        <w:lastRenderedPageBreak/>
        <w:t>يرثونه إذا ترك مالا</w:t>
      </w:r>
      <w:r>
        <w:rPr>
          <w:rFonts w:ascii="Traditional Arabic" w:hAnsi="Traditional Arabic" w:cs="Abz-2 (Badr)" w:hint="cs"/>
          <w:color w:val="4472C4" w:themeColor="accent1"/>
          <w:sz w:val="28"/>
          <w:szCs w:val="28"/>
          <w:rtl/>
          <w:lang w:bidi="fa-IR"/>
        </w:rPr>
        <w:t>ً،</w:t>
      </w:r>
      <w:r w:rsidRPr="0001174C">
        <w:rPr>
          <w:rFonts w:ascii="Traditional Arabic" w:hAnsi="Traditional Arabic" w:cs="Abz-2 (Badr)" w:hint="cs"/>
          <w:color w:val="4472C4" w:themeColor="accent1"/>
          <w:sz w:val="28"/>
          <w:szCs w:val="28"/>
          <w:rtl/>
          <w:lang w:bidi="fa-IR"/>
        </w:rPr>
        <w:t xml:space="preserve"> فهو من المواساة الواجبة مثل الدية.</w:t>
      </w:r>
      <w:r>
        <w:rPr>
          <w:rFonts w:ascii="Traditional Arabic" w:hAnsi="Traditional Arabic" w:cs="Abz-2 (Badr)" w:hint="cs"/>
          <w:color w:val="4472C4" w:themeColor="accent1"/>
          <w:sz w:val="28"/>
          <w:szCs w:val="28"/>
          <w:rtl/>
          <w:lang w:bidi="fa-IR"/>
        </w:rPr>
        <w:t>»</w:t>
      </w:r>
      <w:r w:rsidRPr="0001174C">
        <w:rPr>
          <w:rStyle w:val="FootnoteReference"/>
          <w:rFonts w:ascii="Traditional Arabic" w:hAnsi="Traditional Arabic" w:cs="Abz-2 (Badr)"/>
          <w:color w:val="000000" w:themeColor="text1"/>
          <w:sz w:val="28"/>
          <w:szCs w:val="28"/>
          <w:rtl/>
          <w:lang w:bidi="fa-IR"/>
        </w:rPr>
        <w:footnoteReference w:id="3"/>
      </w:r>
    </w:p>
    <w:p w14:paraId="4182EF6E" w14:textId="3B817442" w:rsidR="000E5B93" w:rsidRPr="009E19AF" w:rsidRDefault="0001174C" w:rsidP="006C4788">
      <w:pPr>
        <w:widowControl w:val="0"/>
        <w:bidi/>
        <w:spacing w:after="0" w:line="250"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در اين خصوص رواياتی در مجامع روايی ما نقل شده است</w:t>
      </w:r>
      <w:r w:rsidR="000E5B93">
        <w:rPr>
          <w:rFonts w:ascii="Traditional Arabic" w:hAnsi="Traditional Arabic" w:cs="Abz-2 (Badr)" w:hint="cs"/>
          <w:color w:val="000000" w:themeColor="text1"/>
          <w:sz w:val="28"/>
          <w:szCs w:val="28"/>
          <w:rtl/>
          <w:lang w:bidi="fa-IR"/>
        </w:rPr>
        <w:t xml:space="preserve"> که </w:t>
      </w:r>
      <w:bookmarkEnd w:id="1"/>
      <w:r w:rsidR="006C4788">
        <w:rPr>
          <w:rFonts w:ascii="Traditional Arabic" w:hAnsi="Traditional Arabic" w:cs="Abz-2 (Badr)" w:hint="cs"/>
          <w:color w:val="000000" w:themeColor="text1"/>
          <w:sz w:val="28"/>
          <w:szCs w:val="28"/>
          <w:rtl/>
          <w:lang w:bidi="fa-IR"/>
        </w:rPr>
        <w:t>جلسه آينده به ذکر آنها خواهيم پرداخت ان شاء الله.</w:t>
      </w:r>
    </w:p>
    <w:sectPr w:rsidR="000E5B93" w:rsidRPr="009E19AF" w:rsidSect="00FA007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04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00DB7" w14:textId="77777777" w:rsidR="00D41B0C" w:rsidRDefault="00D41B0C" w:rsidP="00F71127">
      <w:pPr>
        <w:spacing w:after="0" w:line="240" w:lineRule="auto"/>
      </w:pPr>
      <w:r>
        <w:separator/>
      </w:r>
    </w:p>
  </w:endnote>
  <w:endnote w:type="continuationSeparator" w:id="0">
    <w:p w14:paraId="2FCBF892" w14:textId="77777777" w:rsidR="00D41B0C" w:rsidRDefault="00D41B0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04FD" w14:textId="77777777" w:rsidR="00FA007E" w:rsidRDefault="00FA00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DDB4" w14:textId="77777777" w:rsidR="00FA007E" w:rsidRDefault="00FA0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4F3FC" w14:textId="77777777" w:rsidR="00D41B0C" w:rsidRDefault="00D41B0C" w:rsidP="00EE25C0">
      <w:pPr>
        <w:bidi/>
        <w:spacing w:after="0" w:line="240" w:lineRule="auto"/>
      </w:pPr>
      <w:r>
        <w:separator/>
      </w:r>
    </w:p>
  </w:footnote>
  <w:footnote w:type="continuationSeparator" w:id="0">
    <w:p w14:paraId="2D4BEA83" w14:textId="77777777" w:rsidR="00D41B0C" w:rsidRDefault="00D41B0C" w:rsidP="00F71127">
      <w:pPr>
        <w:bidi/>
        <w:spacing w:after="0" w:line="240" w:lineRule="auto"/>
      </w:pPr>
      <w:r>
        <w:continuationSeparator/>
      </w:r>
    </w:p>
  </w:footnote>
  <w:footnote w:id="1">
    <w:p w14:paraId="5E4734F1" w14:textId="5DB169E4" w:rsidR="002141B2" w:rsidRPr="00D61DAE" w:rsidRDefault="002141B2" w:rsidP="002141B2">
      <w:pPr>
        <w:pStyle w:val="FootnoteText"/>
        <w:bidi/>
        <w:rPr>
          <w:rFonts w:cs="Abz-2 (Badr)"/>
          <w:rtl/>
          <w:lang w:bidi="fa-IR"/>
        </w:rPr>
      </w:pPr>
      <w:r w:rsidRPr="00D61DAE">
        <w:rPr>
          <w:rStyle w:val="FootnoteReference"/>
          <w:rFonts w:cs="Abz-2 (Badr)"/>
          <w:vertAlign w:val="baseline"/>
        </w:rPr>
        <w:footnoteRef/>
      </w:r>
      <w:r w:rsidRPr="00D61DAE">
        <w:rPr>
          <w:rFonts w:cs="Abz-2 (Badr)"/>
        </w:rPr>
        <w:t xml:space="preserve"> </w:t>
      </w:r>
      <w:r w:rsidRPr="00D61DAE">
        <w:rPr>
          <w:rFonts w:cs="Abz-2 (Badr)" w:hint="cs"/>
          <w:rtl/>
        </w:rPr>
        <w:t xml:space="preserve">ـ </w:t>
      </w:r>
      <w:r>
        <w:rPr>
          <w:rFonts w:cs="Abz-2 (Badr)" w:hint="cs"/>
          <w:rtl/>
        </w:rPr>
        <w:t>تبيان</w:t>
      </w:r>
      <w:r w:rsidRPr="00D61DAE">
        <w:rPr>
          <w:rFonts w:cs="Abz-2 (Badr)" w:hint="cs"/>
          <w:rtl/>
        </w:rPr>
        <w:t>،ج</w:t>
      </w:r>
      <w:r>
        <w:rPr>
          <w:rFonts w:cs="Abz-2 (Badr)" w:hint="cs"/>
          <w:rtl/>
        </w:rPr>
        <w:t>2</w:t>
      </w:r>
      <w:r w:rsidRPr="00D61DAE">
        <w:rPr>
          <w:rFonts w:cs="Abz-2 (Badr)" w:hint="cs"/>
          <w:rtl/>
        </w:rPr>
        <w:t>،ص</w:t>
      </w:r>
      <w:r>
        <w:rPr>
          <w:rFonts w:cs="Abz-2 (Badr)" w:hint="cs"/>
          <w:rtl/>
        </w:rPr>
        <w:t>258 و 259</w:t>
      </w:r>
      <w:r w:rsidRPr="00D61DAE">
        <w:rPr>
          <w:rFonts w:cs="Abz-2 (Badr)" w:hint="cs"/>
          <w:rtl/>
        </w:rPr>
        <w:t>.</w:t>
      </w:r>
    </w:p>
  </w:footnote>
  <w:footnote w:id="2">
    <w:p w14:paraId="0066CE03" w14:textId="17F6622F" w:rsidR="00D61DAE" w:rsidRPr="00D61DAE" w:rsidRDefault="00D61DAE" w:rsidP="00D61DAE">
      <w:pPr>
        <w:pStyle w:val="FootnoteText"/>
        <w:bidi/>
        <w:rPr>
          <w:rFonts w:cs="Abz-2 (Badr)"/>
          <w:rtl/>
          <w:lang w:bidi="fa-IR"/>
        </w:rPr>
      </w:pPr>
      <w:r w:rsidRPr="00D61DAE">
        <w:rPr>
          <w:rStyle w:val="FootnoteReference"/>
          <w:rFonts w:cs="Abz-2 (Badr)"/>
          <w:vertAlign w:val="baseline"/>
        </w:rPr>
        <w:footnoteRef/>
      </w:r>
      <w:r w:rsidRPr="00D61DAE">
        <w:rPr>
          <w:rFonts w:cs="Abz-2 (Badr)"/>
        </w:rPr>
        <w:t xml:space="preserve"> </w:t>
      </w:r>
      <w:r w:rsidRPr="00D61DAE">
        <w:rPr>
          <w:rFonts w:cs="Abz-2 (Badr)" w:hint="cs"/>
          <w:rtl/>
        </w:rPr>
        <w:t>ـ مفاتيح الغيب،ج6،ص462 و 463.</w:t>
      </w:r>
    </w:p>
  </w:footnote>
  <w:footnote w:id="3">
    <w:p w14:paraId="1AA88103" w14:textId="4CE3D22A" w:rsidR="0001174C" w:rsidRPr="00D61DAE" w:rsidRDefault="0001174C" w:rsidP="0001174C">
      <w:pPr>
        <w:pStyle w:val="FootnoteText"/>
        <w:bidi/>
        <w:rPr>
          <w:rFonts w:cs="Abz-2 (Badr)"/>
          <w:rtl/>
          <w:lang w:bidi="fa-IR"/>
        </w:rPr>
      </w:pPr>
      <w:r w:rsidRPr="00D61DAE">
        <w:rPr>
          <w:rStyle w:val="FootnoteReference"/>
          <w:rFonts w:cs="Abz-2 (Badr)"/>
          <w:vertAlign w:val="baseline"/>
        </w:rPr>
        <w:footnoteRef/>
      </w:r>
      <w:r w:rsidRPr="00D61DAE">
        <w:rPr>
          <w:rFonts w:cs="Abz-2 (Badr)"/>
        </w:rPr>
        <w:t xml:space="preserve"> </w:t>
      </w:r>
      <w:r w:rsidRPr="00D61DAE">
        <w:rPr>
          <w:rFonts w:cs="Abz-2 (Badr)" w:hint="cs"/>
          <w:rtl/>
        </w:rPr>
        <w:t xml:space="preserve">ـ </w:t>
      </w:r>
      <w:r>
        <w:rPr>
          <w:rFonts w:cs="Abz-2 (Badr)" w:hint="cs"/>
          <w:rtl/>
        </w:rPr>
        <w:t>التحرير والتنوير</w:t>
      </w:r>
      <w:r w:rsidRPr="00D61DAE">
        <w:rPr>
          <w:rFonts w:cs="Abz-2 (Badr)" w:hint="cs"/>
          <w:rtl/>
        </w:rPr>
        <w:t>،ج</w:t>
      </w:r>
      <w:r>
        <w:rPr>
          <w:rFonts w:cs="Abz-2 (Badr)" w:hint="cs"/>
          <w:rtl/>
        </w:rPr>
        <w:t>2</w:t>
      </w:r>
      <w:r w:rsidRPr="00D61DAE">
        <w:rPr>
          <w:rFonts w:cs="Abz-2 (Badr)" w:hint="cs"/>
          <w:rtl/>
        </w:rPr>
        <w:t>،ص</w:t>
      </w:r>
      <w:r>
        <w:rPr>
          <w:rFonts w:cs="Abz-2 (Badr)" w:hint="cs"/>
          <w:rtl/>
        </w:rPr>
        <w:t>415</w:t>
      </w:r>
      <w:r w:rsidRPr="00D61DAE">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5DE2" w14:textId="77777777" w:rsidR="00FA007E" w:rsidRDefault="00FA0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1A28" w14:textId="21239A8E" w:rsidR="00FA007E" w:rsidRDefault="00FA007E">
    <w:pPr>
      <w:pStyle w:val="Header"/>
    </w:pPr>
    <w:r>
      <w:rPr>
        <w:noProof/>
      </w:rPr>
      <mc:AlternateContent>
        <mc:Choice Requires="wps">
          <w:drawing>
            <wp:anchor distT="45720" distB="45720" distL="114300" distR="114300" simplePos="0" relativeHeight="251661312" behindDoc="0" locked="0" layoutInCell="1" allowOverlap="1" wp14:anchorId="6DED0244" wp14:editId="0561C692">
              <wp:simplePos x="0" y="0"/>
              <wp:positionH relativeFrom="column">
                <wp:posOffset>1309370</wp:posOffset>
              </wp:positionH>
              <wp:positionV relativeFrom="paragraph">
                <wp:posOffset>180975</wp:posOffset>
              </wp:positionV>
              <wp:extent cx="4981575" cy="1590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590675"/>
                      </a:xfrm>
                      <a:prstGeom prst="rect">
                        <a:avLst/>
                      </a:prstGeom>
                      <a:solidFill>
                        <a:srgbClr val="FFFFFF"/>
                      </a:solidFill>
                      <a:ln w="9525">
                        <a:noFill/>
                        <a:miter lim="800000"/>
                        <a:headEnd/>
                        <a:tailEnd/>
                      </a:ln>
                    </wps:spPr>
                    <wps:txbx>
                      <w:txbxContent>
                        <w:p w14:paraId="68F39A72" w14:textId="42B07BB5" w:rsidR="00FA007E" w:rsidRDefault="00FA007E" w:rsidP="00FA007E">
                          <w:pPr>
                            <w:bidi/>
                            <w:rPr>
                              <w:rFonts w:cs="B Mehr"/>
                            </w:rPr>
                          </w:pPr>
                          <w:r>
                            <w:rPr>
                              <w:rFonts w:cs="B Mehr" w:hint="cs"/>
                              <w:rtl/>
                            </w:rPr>
                            <w:t>تقریر درس خارج فقه،  استاد حاج سید علی موسوی اردبیلی</w:t>
                          </w:r>
                          <w:r>
                            <w:rPr>
                              <w:rFonts w:cs="B Mehr" w:hint="cs"/>
                            </w:rPr>
                            <w:t xml:space="preserve"> </w:t>
                          </w:r>
                        </w:p>
                        <w:p w14:paraId="6478FBC7" w14:textId="77777777" w:rsidR="00FA007E" w:rsidRDefault="00FA007E" w:rsidP="00FA007E">
                          <w:pPr>
                            <w:jc w:val="right"/>
                            <w:rPr>
                              <w:rFonts w:cs="B Mehr"/>
                            </w:rPr>
                          </w:pPr>
                          <w:r>
                            <w:rPr>
                              <w:rFonts w:cs="B Mehr" w:hint="cs"/>
                              <w:rtl/>
                            </w:rPr>
                            <w:t>مبحث:  نکاح - احکام  اولاد</w:t>
                          </w:r>
                        </w:p>
                        <w:p w14:paraId="105FDE82" w14:textId="50EBDB35" w:rsidR="00FA007E" w:rsidRDefault="00FA007E" w:rsidP="00FA007E">
                          <w:pPr>
                            <w:bidi/>
                          </w:pPr>
                          <w:r>
                            <w:rPr>
                              <w:rFonts w:cs="B Mehr" w:hint="cs"/>
                              <w:rtl/>
                            </w:rPr>
                            <w:t xml:space="preserve">تاریخ: </w:t>
                          </w:r>
                          <w:r>
                            <w:rPr>
                              <w:rFonts w:cs="B Mehr" w:hint="cs"/>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hint="cs"/>
                              <w:rtl/>
                            </w:rPr>
                            <w:t>28</w:t>
                          </w:r>
                          <w:r>
                            <w:rPr>
                              <w:rFonts w:cs="B Mehr" w:hint="cs"/>
                              <w:rtl/>
                            </w:rPr>
                            <w:t xml:space="preserve">      بهمن   ماه - 1403ه.ش</w:t>
                          </w:r>
                        </w:p>
                        <w:p w14:paraId="48E7D334" w14:textId="77777777" w:rsidR="00FA007E" w:rsidRDefault="00FA007E" w:rsidP="00FA007E"/>
                        <w:p w14:paraId="009E51A7" w14:textId="77777777" w:rsidR="00FA007E" w:rsidRDefault="00FA007E" w:rsidP="00FA007E"/>
                        <w:p w14:paraId="54AF2C63" w14:textId="77777777" w:rsidR="00FA007E" w:rsidRDefault="00FA007E" w:rsidP="00FA007E"/>
                        <w:p w14:paraId="5F46BF0F" w14:textId="77777777" w:rsidR="00FA007E" w:rsidRDefault="00FA007E" w:rsidP="00FA007E"/>
                        <w:p w14:paraId="381C99BC" w14:textId="77777777" w:rsidR="00FA007E" w:rsidRDefault="00FA007E" w:rsidP="00FA007E"/>
                        <w:p w14:paraId="3C42A1BB" w14:textId="77777777" w:rsidR="00FA007E" w:rsidRDefault="00FA007E" w:rsidP="00FA007E"/>
                        <w:p w14:paraId="6EB50A21" w14:textId="62431604" w:rsidR="00FA007E" w:rsidRDefault="00FA00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D0244" id="_x0000_t202" coordsize="21600,21600" o:spt="202" path="m,l,21600r21600,l21600,xe">
              <v:stroke joinstyle="miter"/>
              <v:path gradientshapeok="t" o:connecttype="rect"/>
            </v:shapetype>
            <v:shape id="Text Box 2" o:spid="_x0000_s1026" type="#_x0000_t202" style="position:absolute;margin-left:103.1pt;margin-top:14.25pt;width:392.25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" stroked="f">
              <v:textbox>
                <w:txbxContent>
                  <w:p w14:paraId="68F39A72" w14:textId="42B07BB5" w:rsidR="00FA007E" w:rsidRDefault="00FA007E" w:rsidP="00FA007E">
                    <w:pPr>
                      <w:bidi/>
                      <w:rPr>
                        <w:rFonts w:cs="B Mehr"/>
                      </w:rPr>
                    </w:pPr>
                    <w:r>
                      <w:rPr>
                        <w:rFonts w:cs="B Mehr" w:hint="cs"/>
                        <w:rtl/>
                      </w:rPr>
                      <w:t>تقریر درس خارج فقه،  استاد حاج سید علی موسوی اردبیلی</w:t>
                    </w:r>
                    <w:r>
                      <w:rPr>
                        <w:rFonts w:cs="B Mehr" w:hint="cs"/>
                      </w:rPr>
                      <w:t xml:space="preserve"> </w:t>
                    </w:r>
                  </w:p>
                  <w:p w14:paraId="6478FBC7" w14:textId="77777777" w:rsidR="00FA007E" w:rsidRDefault="00FA007E" w:rsidP="00FA007E">
                    <w:pPr>
                      <w:jc w:val="right"/>
                      <w:rPr>
                        <w:rFonts w:cs="B Mehr"/>
                      </w:rPr>
                    </w:pPr>
                    <w:r>
                      <w:rPr>
                        <w:rFonts w:cs="B Mehr" w:hint="cs"/>
                        <w:rtl/>
                      </w:rPr>
                      <w:t>مبحث:  نکاح - احکام  اولاد</w:t>
                    </w:r>
                  </w:p>
                  <w:p w14:paraId="105FDE82" w14:textId="50EBDB35" w:rsidR="00FA007E" w:rsidRDefault="00FA007E" w:rsidP="00FA007E">
                    <w:pPr>
                      <w:bidi/>
                    </w:pPr>
                    <w:r>
                      <w:rPr>
                        <w:rFonts w:cs="B Mehr" w:hint="cs"/>
                        <w:rtl/>
                      </w:rPr>
                      <w:t xml:space="preserve">تاریخ: </w:t>
                    </w:r>
                    <w:r>
                      <w:rPr>
                        <w:rFonts w:cs="B Mehr" w:hint="cs"/>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hint="cs"/>
                        <w:rtl/>
                      </w:rPr>
                      <w:t>28</w:t>
                    </w:r>
                    <w:r>
                      <w:rPr>
                        <w:rFonts w:cs="B Mehr" w:hint="cs"/>
                        <w:rtl/>
                      </w:rPr>
                      <w:t xml:space="preserve">      بهمن   ماه - 1403ه.ش</w:t>
                    </w:r>
                  </w:p>
                  <w:p w14:paraId="48E7D334" w14:textId="77777777" w:rsidR="00FA007E" w:rsidRDefault="00FA007E" w:rsidP="00FA007E"/>
                  <w:p w14:paraId="009E51A7" w14:textId="77777777" w:rsidR="00FA007E" w:rsidRDefault="00FA007E" w:rsidP="00FA007E"/>
                  <w:p w14:paraId="54AF2C63" w14:textId="77777777" w:rsidR="00FA007E" w:rsidRDefault="00FA007E" w:rsidP="00FA007E"/>
                  <w:p w14:paraId="5F46BF0F" w14:textId="77777777" w:rsidR="00FA007E" w:rsidRDefault="00FA007E" w:rsidP="00FA007E"/>
                  <w:p w14:paraId="381C99BC" w14:textId="77777777" w:rsidR="00FA007E" w:rsidRDefault="00FA007E" w:rsidP="00FA007E"/>
                  <w:p w14:paraId="3C42A1BB" w14:textId="77777777" w:rsidR="00FA007E" w:rsidRDefault="00FA007E" w:rsidP="00FA007E"/>
                  <w:p w14:paraId="6EB50A21" w14:textId="62431604" w:rsidR="00FA007E" w:rsidRDefault="00FA007E"/>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6FA7D7C" wp14:editId="02ACF03E">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8B2E" w14:textId="77777777" w:rsidR="00FA007E" w:rsidRDefault="00FA00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093"/>
    <w:rsid w:val="00195C21"/>
    <w:rsid w:val="00195E80"/>
    <w:rsid w:val="00196B6F"/>
    <w:rsid w:val="00196B8A"/>
    <w:rsid w:val="00196FFE"/>
    <w:rsid w:val="00197DDA"/>
    <w:rsid w:val="001A04BA"/>
    <w:rsid w:val="001A1180"/>
    <w:rsid w:val="001A139F"/>
    <w:rsid w:val="001A1B2F"/>
    <w:rsid w:val="001A1C65"/>
    <w:rsid w:val="001A2687"/>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3CC"/>
    <w:rsid w:val="002B7F7E"/>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D"/>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2FF5"/>
    <w:rsid w:val="004B3F7E"/>
    <w:rsid w:val="004B41A1"/>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D6"/>
    <w:rsid w:val="004C545D"/>
    <w:rsid w:val="004C5E0C"/>
    <w:rsid w:val="004C68CC"/>
    <w:rsid w:val="004C6CE6"/>
    <w:rsid w:val="004C7429"/>
    <w:rsid w:val="004D06C9"/>
    <w:rsid w:val="004D0F9E"/>
    <w:rsid w:val="004D1738"/>
    <w:rsid w:val="004D2019"/>
    <w:rsid w:val="004D2ED1"/>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A82"/>
    <w:rsid w:val="005C1591"/>
    <w:rsid w:val="005C2DC4"/>
    <w:rsid w:val="005C3A1D"/>
    <w:rsid w:val="005C577D"/>
    <w:rsid w:val="005C60D7"/>
    <w:rsid w:val="005C654C"/>
    <w:rsid w:val="005C6E90"/>
    <w:rsid w:val="005C7D5D"/>
    <w:rsid w:val="005C7DD3"/>
    <w:rsid w:val="005D0294"/>
    <w:rsid w:val="005D1A30"/>
    <w:rsid w:val="005D1C00"/>
    <w:rsid w:val="005D2D13"/>
    <w:rsid w:val="005D3E93"/>
    <w:rsid w:val="005D4071"/>
    <w:rsid w:val="005D432C"/>
    <w:rsid w:val="005D4482"/>
    <w:rsid w:val="005D4F3E"/>
    <w:rsid w:val="005D571F"/>
    <w:rsid w:val="005D6533"/>
    <w:rsid w:val="005D73CF"/>
    <w:rsid w:val="005E052A"/>
    <w:rsid w:val="005E06DE"/>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6CDE"/>
    <w:rsid w:val="00647CF9"/>
    <w:rsid w:val="00647D57"/>
    <w:rsid w:val="00647F91"/>
    <w:rsid w:val="00650174"/>
    <w:rsid w:val="00650CB7"/>
    <w:rsid w:val="00651775"/>
    <w:rsid w:val="00651DBF"/>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5E3A"/>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6E2"/>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3F19"/>
    <w:rsid w:val="007641CF"/>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2DE7"/>
    <w:rsid w:val="007C31BE"/>
    <w:rsid w:val="007C3F32"/>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3A99"/>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D0B"/>
    <w:rsid w:val="00963451"/>
    <w:rsid w:val="00964909"/>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02DD"/>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505"/>
    <w:rsid w:val="00995859"/>
    <w:rsid w:val="0099697B"/>
    <w:rsid w:val="00996A30"/>
    <w:rsid w:val="00996A5B"/>
    <w:rsid w:val="0099718B"/>
    <w:rsid w:val="009A014A"/>
    <w:rsid w:val="009A076A"/>
    <w:rsid w:val="009A0D65"/>
    <w:rsid w:val="009A0FD8"/>
    <w:rsid w:val="009A18D5"/>
    <w:rsid w:val="009A1A1A"/>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0CC6"/>
    <w:rsid w:val="00A11857"/>
    <w:rsid w:val="00A11F28"/>
    <w:rsid w:val="00A1285F"/>
    <w:rsid w:val="00A133AB"/>
    <w:rsid w:val="00A13DDF"/>
    <w:rsid w:val="00A16956"/>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901D9"/>
    <w:rsid w:val="00A90237"/>
    <w:rsid w:val="00A902FE"/>
    <w:rsid w:val="00A90373"/>
    <w:rsid w:val="00A90800"/>
    <w:rsid w:val="00A9122B"/>
    <w:rsid w:val="00A913AC"/>
    <w:rsid w:val="00A917B6"/>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EC4"/>
    <w:rsid w:val="00B10FDF"/>
    <w:rsid w:val="00B1268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802"/>
    <w:rsid w:val="00B26936"/>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15E3"/>
    <w:rsid w:val="00D4172A"/>
    <w:rsid w:val="00D41B0C"/>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55DD"/>
    <w:rsid w:val="00DD55E2"/>
    <w:rsid w:val="00DD64BB"/>
    <w:rsid w:val="00DE0283"/>
    <w:rsid w:val="00DE06E9"/>
    <w:rsid w:val="00DE2660"/>
    <w:rsid w:val="00DE2DFA"/>
    <w:rsid w:val="00DE3EC1"/>
    <w:rsid w:val="00DE49FA"/>
    <w:rsid w:val="00DE50EC"/>
    <w:rsid w:val="00DE7889"/>
    <w:rsid w:val="00DE7A0D"/>
    <w:rsid w:val="00DE7A76"/>
    <w:rsid w:val="00DF0910"/>
    <w:rsid w:val="00DF1049"/>
    <w:rsid w:val="00DF22E3"/>
    <w:rsid w:val="00DF2C18"/>
    <w:rsid w:val="00DF2E8D"/>
    <w:rsid w:val="00DF32F5"/>
    <w:rsid w:val="00DF403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6244"/>
    <w:rsid w:val="00EC1281"/>
    <w:rsid w:val="00EC1721"/>
    <w:rsid w:val="00EC220B"/>
    <w:rsid w:val="00EC2D97"/>
    <w:rsid w:val="00EC2F75"/>
    <w:rsid w:val="00EC365F"/>
    <w:rsid w:val="00EC3693"/>
    <w:rsid w:val="00EC5734"/>
    <w:rsid w:val="00EC5DC8"/>
    <w:rsid w:val="00EC605D"/>
    <w:rsid w:val="00EC6160"/>
    <w:rsid w:val="00EC7700"/>
    <w:rsid w:val="00EC7DC8"/>
    <w:rsid w:val="00EC7F72"/>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7FF"/>
    <w:rsid w:val="00F53B5C"/>
    <w:rsid w:val="00F55324"/>
    <w:rsid w:val="00F55B55"/>
    <w:rsid w:val="00F55F4D"/>
    <w:rsid w:val="00F5720C"/>
    <w:rsid w:val="00F57466"/>
    <w:rsid w:val="00F575BC"/>
    <w:rsid w:val="00F5786F"/>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07E"/>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2121262">
      <w:bodyDiv w:val="1"/>
      <w:marLeft w:val="0"/>
      <w:marRight w:val="0"/>
      <w:marTop w:val="0"/>
      <w:marBottom w:val="0"/>
      <w:divBdr>
        <w:top w:val="none" w:sz="0" w:space="0" w:color="auto"/>
        <w:left w:val="none" w:sz="0" w:space="0" w:color="auto"/>
        <w:bottom w:val="none" w:sz="0" w:space="0" w:color="auto"/>
        <w:right w:val="none" w:sz="0" w:space="0" w:color="auto"/>
      </w:divBdr>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20798</TotalTime>
  <Pages>1</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475</cp:revision>
  <cp:lastPrinted>2025-02-15T09:03:00Z</cp:lastPrinted>
  <dcterms:created xsi:type="dcterms:W3CDTF">2022-10-16T08:36:00Z</dcterms:created>
  <dcterms:modified xsi:type="dcterms:W3CDTF">2025-02-16T09:05:00Z</dcterms:modified>
</cp:coreProperties>
</file>